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4687" w14:textId="77777777" w:rsidR="00C6209C" w:rsidRPr="003452A9" w:rsidRDefault="00C6209C" w:rsidP="00A0697D">
      <w:pPr>
        <w:pStyle w:val="berschrift-H2"/>
        <w:rPr>
          <w:lang w:val="en-GB"/>
        </w:rPr>
      </w:pPr>
      <w:r w:rsidRPr="003452A9">
        <w:rPr>
          <w:lang w:val="en-GB"/>
        </w:rPr>
        <w:t>Rittal TX Colo</w:t>
      </w:r>
    </w:p>
    <w:p w14:paraId="04D0E881" w14:textId="77777777" w:rsidR="00C6209C" w:rsidRPr="00C6209C" w:rsidRDefault="00C6209C" w:rsidP="00C6209C">
      <w:pPr>
        <w:pStyle w:val="berschrift-H1"/>
        <w:rPr>
          <w:lang w:val="en-US"/>
        </w:rPr>
      </w:pPr>
      <w:r w:rsidRPr="00C6209C">
        <w:rPr>
          <w:lang w:val="en-US"/>
        </w:rPr>
        <w:t xml:space="preserve">Flexible, scalable and future-proof: </w:t>
      </w:r>
      <w:r w:rsidRPr="00C6209C">
        <w:rPr>
          <w:lang w:val="en-US"/>
        </w:rPr>
        <w:br/>
        <w:t>the new rack for colocation data centres</w:t>
      </w:r>
    </w:p>
    <w:p w14:paraId="490F1329" w14:textId="7188CCC8" w:rsidR="00C6209C" w:rsidRPr="003452A9" w:rsidRDefault="00C6209C" w:rsidP="00C6209C">
      <w:pPr>
        <w:pStyle w:val="Ort-Datum"/>
        <w:rPr>
          <w:lang w:val="en-GB"/>
        </w:rPr>
      </w:pPr>
      <w:r w:rsidRPr="003452A9">
        <w:rPr>
          <w:lang w:val="en-GB"/>
        </w:rPr>
        <w:t>Herborn</w:t>
      </w:r>
      <w:r w:rsidR="00D90C06">
        <w:rPr>
          <w:lang w:val="en-GB"/>
        </w:rPr>
        <w:t>/Hannover</w:t>
      </w:r>
      <w:r w:rsidRPr="003452A9">
        <w:rPr>
          <w:lang w:val="en-GB"/>
        </w:rPr>
        <w:t>, 2024</w:t>
      </w:r>
      <w:r w:rsidR="006B6583">
        <w:rPr>
          <w:lang w:val="en-GB"/>
        </w:rPr>
        <w:t>-04-</w:t>
      </w:r>
      <w:r w:rsidR="008D4B31">
        <w:rPr>
          <w:lang w:val="en-GB"/>
        </w:rPr>
        <w:t>25</w:t>
      </w:r>
    </w:p>
    <w:p w14:paraId="625EE44F" w14:textId="77777777" w:rsidR="00C6209C" w:rsidRPr="00C6209C" w:rsidRDefault="00C6209C" w:rsidP="00C6209C">
      <w:pPr>
        <w:pStyle w:val="Copytext-Intro"/>
        <w:rPr>
          <w:rFonts w:cs="Helvetica LT Std"/>
          <w:color w:val="auto"/>
          <w:lang w:val="en-US"/>
        </w:rPr>
      </w:pPr>
      <w:r w:rsidRPr="00C6209C">
        <w:rPr>
          <w:lang w:val="en-US"/>
        </w:rPr>
        <w:t xml:space="preserve">The demand for computing power is significantly growing with increasing digitalisation and more and more AI applications in future – and thus the colocation market is booming. Businesses rely on high-performance IT infrastructures that are energy-efficient and secure, as well as flexible and scalable. The </w:t>
      </w:r>
      <w:r w:rsidRPr="00C6209C">
        <w:rPr>
          <w:color w:val="000000"/>
          <w:lang w:val="en-US"/>
        </w:rPr>
        <w:t>new Rittal TX Colo rack offers colocation providers the option of equipping their white spaces with ready-to-use, standardised solutions designed specifically for this market</w:t>
      </w:r>
      <w:r w:rsidRPr="00C6209C">
        <w:rPr>
          <w:color w:val="auto"/>
          <w:lang w:val="en-US"/>
        </w:rPr>
        <w:t>.</w:t>
      </w:r>
    </w:p>
    <w:p w14:paraId="6D69916C" w14:textId="77777777" w:rsidR="00C6209C" w:rsidRPr="00C6209C" w:rsidRDefault="00C6209C" w:rsidP="00C6209C">
      <w:pPr>
        <w:pStyle w:val="Copytext"/>
        <w:rPr>
          <w:lang w:val="en-US"/>
        </w:rPr>
      </w:pPr>
      <w:r w:rsidRPr="00C6209C">
        <w:rPr>
          <w:lang w:val="en-US"/>
        </w:rPr>
        <w:t>The global market for the colocation of data centres is set to grow by US$ 66.57 billion between 2024 and 2028. This is predicted in a report by the market research company Technavio. “The colocation market is continuously evolving at an impressive pace. This growth is driven by the growing demands on computing power, security, and scalability. Companies are increasingly looking for flexible and future-proof solutions with the increasing complexity and scope of IT infrastructures,</w:t>
      </w:r>
      <w:r w:rsidRPr="00C6209C">
        <w:rPr>
          <w:color w:val="auto"/>
          <w:lang w:val="en-US"/>
        </w:rPr>
        <w:t>” explains Anna Klaft, Vice President IT Business Unit</w:t>
      </w:r>
      <w:r w:rsidRPr="00C6209C">
        <w:rPr>
          <w:lang w:val="en-US"/>
        </w:rPr>
        <w:t xml:space="preserve"> at Rittal.</w:t>
      </w:r>
    </w:p>
    <w:p w14:paraId="05FCDD91" w14:textId="77777777" w:rsidR="00C6209C" w:rsidRPr="00C6209C" w:rsidRDefault="00C6209C" w:rsidP="00C6209C">
      <w:pPr>
        <w:pStyle w:val="Copytext"/>
        <w:rPr>
          <w:lang w:val="en-US"/>
        </w:rPr>
      </w:pPr>
    </w:p>
    <w:p w14:paraId="50CCA46B" w14:textId="77777777" w:rsidR="00C6209C" w:rsidRPr="00C6209C" w:rsidRDefault="00C6209C" w:rsidP="00C6209C">
      <w:pPr>
        <w:pStyle w:val="Copytext"/>
        <w:rPr>
          <w:lang w:val="en-US"/>
        </w:rPr>
      </w:pPr>
      <w:r w:rsidRPr="00C6209C">
        <w:rPr>
          <w:lang w:val="en-US"/>
        </w:rPr>
        <w:t>Advances in AI are also increasing the need for computing power exorbitantly. They are leading to more complex algorithms and models that require more computing resources. AI applications can vary seriously. “Colocation provides an efficient way of mapping the computing power increasingly required without the need for companies to run their own data centres,” explains Anna Klaft.</w:t>
      </w:r>
    </w:p>
    <w:p w14:paraId="55CC852C" w14:textId="77777777" w:rsidR="00C6209C" w:rsidRPr="00C6209C" w:rsidRDefault="00C6209C" w:rsidP="00C6209C">
      <w:pPr>
        <w:pStyle w:val="Copytext"/>
        <w:rPr>
          <w:lang w:val="en-US"/>
        </w:rPr>
      </w:pPr>
    </w:p>
    <w:p w14:paraId="221DBCD5" w14:textId="77777777" w:rsidR="00C6209C" w:rsidRPr="00C6209C" w:rsidRDefault="00C6209C" w:rsidP="00C6209C">
      <w:pPr>
        <w:pStyle w:val="Copytext"/>
        <w:rPr>
          <w:rFonts w:cs="Helvetica LT Std"/>
          <w:color w:val="auto"/>
          <w:lang w:val="en-US"/>
        </w:rPr>
      </w:pPr>
      <w:r w:rsidRPr="00C6209C">
        <w:rPr>
          <w:lang w:val="en-US"/>
        </w:rPr>
        <w:t xml:space="preserve">With colocation, companies rent either fully-equipped racks or an entire room from a specialist data centre operator in which to integrate their own IT equipment. They therefore do not have to operate their equipment on their own </w:t>
      </w:r>
      <w:r w:rsidRPr="00C6209C">
        <w:rPr>
          <w:color w:val="auto"/>
          <w:lang w:val="en-US"/>
        </w:rPr>
        <w:t xml:space="preserve">premises. Colocation providers offer state-of-the-art data centres that ensure the secure and efficient management of digital assets. However, the IT infrastructures have to perform at a high level: high energy efficiency, assured quality and reliability, global </w:t>
      </w:r>
      <w:r w:rsidRPr="00C6209C">
        <w:rPr>
          <w:color w:val="auto"/>
          <w:lang w:val="en-US"/>
        </w:rPr>
        <w:lastRenderedPageBreak/>
        <w:t xml:space="preserve">standardisation, documented evidence, and certification. At the same time, the components must be coordinated and rapidly scalable. </w:t>
      </w:r>
    </w:p>
    <w:p w14:paraId="69E1F4AB" w14:textId="77777777" w:rsidR="00C6209C" w:rsidRPr="00C6209C" w:rsidRDefault="00C6209C" w:rsidP="00C6209C">
      <w:pPr>
        <w:pStyle w:val="Copytext"/>
        <w:rPr>
          <w:lang w:val="en-US"/>
        </w:rPr>
      </w:pPr>
    </w:p>
    <w:p w14:paraId="1C74344B" w14:textId="77777777" w:rsidR="00C6209C" w:rsidRPr="00C6209C" w:rsidRDefault="00C6209C" w:rsidP="00C6209C">
      <w:pPr>
        <w:pStyle w:val="Copytext"/>
        <w:rPr>
          <w:lang w:val="en-US"/>
        </w:rPr>
      </w:pPr>
      <w:r w:rsidRPr="00C6209C">
        <w:rPr>
          <w:lang w:val="en-US"/>
        </w:rPr>
        <w:t>Rittal is helping colocation providers to quickly meet these requirements and the growing demand with its new TX Colo rack. “Our new rack enables vendors to perform at the highest level within the shortest time. They can equip their white spaces with ready-to-use, standardised, high-quality solutions,” continues the IT expert.</w:t>
      </w:r>
    </w:p>
    <w:p w14:paraId="3106D180" w14:textId="77777777" w:rsidR="00C6209C" w:rsidRPr="00C6209C" w:rsidRDefault="00C6209C" w:rsidP="00C6209C">
      <w:pPr>
        <w:pStyle w:val="Copytext-Zwischenberschrift"/>
        <w:rPr>
          <w:b w:val="0"/>
          <w:lang w:val="en-US"/>
        </w:rPr>
      </w:pPr>
      <w:r w:rsidRPr="00C6209C">
        <w:rPr>
          <w:lang w:val="en-US"/>
        </w:rPr>
        <w:t>Immediately ready-to-use and combinable</w:t>
      </w:r>
      <w:r w:rsidRPr="00C6209C">
        <w:rPr>
          <w:lang w:val="en-US"/>
        </w:rPr>
        <w:br/>
      </w:r>
      <w:r w:rsidRPr="00C6209C">
        <w:rPr>
          <w:b w:val="0"/>
          <w:lang w:val="en-US"/>
        </w:rPr>
        <w:t>The TX Colo was specifically developed for use in large data centres. Thanks to the use of standard components, the complete solution enjoys short delivery times</w:t>
      </w:r>
      <w:r w:rsidRPr="00C6209C">
        <w:rPr>
          <w:lang w:val="en-US"/>
        </w:rPr>
        <w:t xml:space="preserve">, </w:t>
      </w:r>
      <w:r w:rsidRPr="00C6209C">
        <w:rPr>
          <w:b w:val="0"/>
          <w:lang w:val="en-US"/>
        </w:rPr>
        <w:t>is pre-configured, and</w:t>
      </w:r>
      <w:r w:rsidRPr="00C6209C">
        <w:rPr>
          <w:lang w:val="en-US"/>
        </w:rPr>
        <w:t xml:space="preserve"> </w:t>
      </w:r>
      <w:r w:rsidRPr="00C6209C">
        <w:rPr>
          <w:b w:val="0"/>
          <w:lang w:val="en-US"/>
        </w:rPr>
        <w:t xml:space="preserve">ready for immediate use. The pre-defined rack can be used without additional configuration and installation. </w:t>
      </w:r>
    </w:p>
    <w:p w14:paraId="6D9FF470" w14:textId="77777777" w:rsidR="00C6209C" w:rsidRPr="00C6209C" w:rsidRDefault="00C6209C" w:rsidP="00C6209C">
      <w:pPr>
        <w:pStyle w:val="Copytext-Zwischenberschrift"/>
        <w:rPr>
          <w:b w:val="0"/>
          <w:lang w:val="en-US"/>
        </w:rPr>
      </w:pPr>
      <w:r w:rsidRPr="00C6209C">
        <w:rPr>
          <w:b w:val="0"/>
          <w:lang w:val="en-US"/>
        </w:rPr>
        <w:t>A standardised specification ensures consistency in the data centre, therefore the solution is compatible and can be bayed with other Rittal IT racks. It can be individually adapted, thanks to Rittal's extensive range of accessories and the practical 25 mm pitch pattern in the frame construction.</w:t>
      </w:r>
    </w:p>
    <w:p w14:paraId="2C715DD5" w14:textId="77777777" w:rsidR="00C6209C" w:rsidRPr="00C6209C" w:rsidRDefault="00C6209C" w:rsidP="00C6209C">
      <w:pPr>
        <w:pStyle w:val="Copytext-Zwischenberschrift"/>
        <w:rPr>
          <w:b w:val="0"/>
          <w:lang w:val="en-US"/>
        </w:rPr>
      </w:pPr>
      <w:r w:rsidRPr="00C6209C">
        <w:rPr>
          <w:b w:val="0"/>
          <w:lang w:val="en-US"/>
        </w:rPr>
        <w:t xml:space="preserve">The TX Colo includes integrated air baffle plates and partitions to ensure optimum air flow. Roof cut-outs with brush strips across the entire depth and cable tray provide for simple cable routing. The VX comfort handle with numerical code lock offers additional access protection. The rack also features ventilated doors that support optimum climate control. </w:t>
      </w:r>
    </w:p>
    <w:p w14:paraId="1429727F" w14:textId="77777777" w:rsidR="00C6209C" w:rsidRPr="00C6209C" w:rsidRDefault="00C6209C" w:rsidP="00C6209C">
      <w:pPr>
        <w:pStyle w:val="Copytext"/>
        <w:rPr>
          <w:lang w:val="en-US"/>
        </w:rPr>
      </w:pPr>
      <w:r w:rsidRPr="00C6209C">
        <w:rPr>
          <w:lang w:val="en-US"/>
        </w:rPr>
        <w:br/>
        <w:t>“The new rack is flexible with universal uses and will support the growing requirements in the colocation sector as needed. As a systems provider for IT infrastructures, we can also provide all other components. As the world's main supplier of racks, we are in an intensive dialogue with hyperscalers when it comes to developing the right modular cooling solutions for liquid cooling,” explains Anna Klaft.</w:t>
      </w:r>
    </w:p>
    <w:p w14:paraId="3B3D4C18" w14:textId="24D45F78" w:rsidR="0030636B" w:rsidRDefault="0030636B" w:rsidP="00D80B69">
      <w:pPr>
        <w:pStyle w:val="Copytext"/>
        <w:rPr>
          <w:lang w:val="en-US"/>
        </w:rPr>
      </w:pPr>
    </w:p>
    <w:p w14:paraId="399D17A0" w14:textId="77777777" w:rsidR="00D2409E" w:rsidRPr="007633E1" w:rsidRDefault="00D2409E" w:rsidP="00D80B69">
      <w:pPr>
        <w:pStyle w:val="Copytext"/>
        <w:rPr>
          <w:lang w:val="en-US"/>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6209C" w:rsidRPr="009021C0" w14:paraId="01FA39CF" w14:textId="77777777" w:rsidTr="00080930">
        <w:tc>
          <w:tcPr>
            <w:tcW w:w="3685" w:type="dxa"/>
            <w:tcMar>
              <w:left w:w="0" w:type="dxa"/>
              <w:right w:w="0" w:type="dxa"/>
            </w:tcMar>
          </w:tcPr>
          <w:p w14:paraId="1E80AEC0" w14:textId="4A487D89" w:rsidR="00C6209C" w:rsidRPr="00C6209C" w:rsidRDefault="00C6209C" w:rsidP="00D3450A">
            <w:pPr>
              <w:pStyle w:val="BU-Head"/>
              <w:rPr>
                <w:lang w:val="en-US"/>
              </w:rPr>
            </w:pPr>
            <w:r>
              <w:rPr>
                <w:noProof/>
              </w:rPr>
              <w:lastRenderedPageBreak/>
              <w:drawing>
                <wp:anchor distT="0" distB="0" distL="114300" distR="114300" simplePos="0" relativeHeight="251718656" behindDoc="0" locked="0" layoutInCell="1" allowOverlap="1" wp14:anchorId="69B4720C" wp14:editId="4A881D3C">
                  <wp:simplePos x="0" y="0"/>
                  <wp:positionH relativeFrom="column">
                    <wp:posOffset>20237</wp:posOffset>
                  </wp:positionH>
                  <wp:positionV relativeFrom="paragraph">
                    <wp:posOffset>-561588</wp:posOffset>
                  </wp:positionV>
                  <wp:extent cx="2269722" cy="1630017"/>
                  <wp:effectExtent l="0" t="0" r="0" b="889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69722" cy="1630017"/>
                          </a:xfrm>
                          <a:prstGeom prst="rect">
                            <a:avLst/>
                          </a:prstGeom>
                        </pic:spPr>
                      </pic:pic>
                    </a:graphicData>
                  </a:graphic>
                </wp:anchor>
              </w:drawing>
            </w:r>
            <w:r w:rsidRPr="00C6209C">
              <w:rPr>
                <w:lang w:val="en-US"/>
              </w:rPr>
              <w:t>Caption</w:t>
            </w:r>
            <w:r w:rsidR="00C81C3C">
              <w:rPr>
                <w:lang w:val="en-US"/>
              </w:rPr>
              <w:t xml:space="preserve"> Image 1:</w:t>
            </w:r>
          </w:p>
          <w:p w14:paraId="191776FA" w14:textId="54923215" w:rsidR="00C6209C" w:rsidRPr="00C6209C" w:rsidRDefault="00C6209C" w:rsidP="00D80B69">
            <w:pPr>
              <w:pStyle w:val="BU"/>
              <w:rPr>
                <w:spacing w:val="-5"/>
                <w:lang w:val="en-US"/>
              </w:rPr>
            </w:pPr>
            <w:r w:rsidRPr="00C6209C">
              <w:rPr>
                <w:lang w:val="en-US"/>
              </w:rPr>
              <w:t>The new Rittal TX Colo rack offers colocation providers the option of fitting out their white spaces with ready-to-use, standardised solutions designed specifically for this market.</w:t>
            </w:r>
          </w:p>
        </w:tc>
        <w:tc>
          <w:tcPr>
            <w:tcW w:w="283" w:type="dxa"/>
            <w:tcMar>
              <w:left w:w="0" w:type="dxa"/>
              <w:right w:w="0" w:type="dxa"/>
            </w:tcMar>
          </w:tcPr>
          <w:p w14:paraId="343C1BC7" w14:textId="77777777" w:rsidR="00C6209C" w:rsidRPr="00C6209C" w:rsidRDefault="00C6209C" w:rsidP="00D80B69">
            <w:pPr>
              <w:pStyle w:val="Copytext"/>
              <w:rPr>
                <w:lang w:val="en-US"/>
              </w:rPr>
            </w:pPr>
          </w:p>
        </w:tc>
        <w:tc>
          <w:tcPr>
            <w:tcW w:w="3685" w:type="dxa"/>
            <w:tcMar>
              <w:left w:w="0" w:type="dxa"/>
              <w:right w:w="0" w:type="dxa"/>
            </w:tcMar>
          </w:tcPr>
          <w:p w14:paraId="1364E7E1" w14:textId="673F2B4F" w:rsidR="00C6209C" w:rsidRPr="00C6209C" w:rsidRDefault="00C6209C" w:rsidP="00D3450A">
            <w:pPr>
              <w:pStyle w:val="BU-Head"/>
              <w:rPr>
                <w:lang w:val="en-US"/>
              </w:rPr>
            </w:pPr>
            <w:r>
              <w:rPr>
                <w:noProof/>
              </w:rPr>
              <w:drawing>
                <wp:anchor distT="0" distB="0" distL="114300" distR="114300" simplePos="0" relativeHeight="251719680" behindDoc="0" locked="0" layoutInCell="1" allowOverlap="1" wp14:anchorId="7463E1F0" wp14:editId="290F0F4D">
                  <wp:simplePos x="0" y="0"/>
                  <wp:positionH relativeFrom="column">
                    <wp:posOffset>76200</wp:posOffset>
                  </wp:positionH>
                  <wp:positionV relativeFrom="paragraph">
                    <wp:posOffset>-50800</wp:posOffset>
                  </wp:positionV>
                  <wp:extent cx="1926707" cy="1614114"/>
                  <wp:effectExtent l="0" t="0" r="0" b="571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26707" cy="1614114"/>
                          </a:xfrm>
                          <a:prstGeom prst="rect">
                            <a:avLst/>
                          </a:prstGeom>
                        </pic:spPr>
                      </pic:pic>
                    </a:graphicData>
                  </a:graphic>
                  <wp14:sizeRelH relativeFrom="margin">
                    <wp14:pctWidth>0</wp14:pctWidth>
                  </wp14:sizeRelH>
                  <wp14:sizeRelV relativeFrom="margin">
                    <wp14:pctHeight>0</wp14:pctHeight>
                  </wp14:sizeRelV>
                </wp:anchor>
              </w:drawing>
            </w:r>
            <w:r w:rsidRPr="00C6209C">
              <w:rPr>
                <w:lang w:val="en-US"/>
              </w:rPr>
              <w:t>Caption</w:t>
            </w:r>
            <w:r w:rsidR="00C81C3C">
              <w:rPr>
                <w:lang w:val="en-US"/>
              </w:rPr>
              <w:t xml:space="preserve"> Image </w:t>
            </w:r>
            <w:r w:rsidR="009021C0">
              <w:rPr>
                <w:lang w:val="en-US"/>
              </w:rPr>
              <w:t>2</w:t>
            </w:r>
            <w:r w:rsidR="00C81C3C">
              <w:rPr>
                <w:lang w:val="en-US"/>
              </w:rPr>
              <w:t>:</w:t>
            </w:r>
          </w:p>
          <w:p w14:paraId="574EB81E" w14:textId="5F2DA0C7" w:rsidR="00C6209C" w:rsidRPr="00C6209C" w:rsidRDefault="00C6209C" w:rsidP="00D80B69">
            <w:pPr>
              <w:pStyle w:val="BU"/>
              <w:rPr>
                <w:lang w:val="en-US"/>
              </w:rPr>
            </w:pPr>
            <w:r w:rsidRPr="00C6209C">
              <w:rPr>
                <w:lang w:val="en-US"/>
              </w:rPr>
              <w:t xml:space="preserve">“Our new rack enables vendors to perform at the highest level within the shortest time. They can equip their white spaces with ready-to-use, standardised, high-quality solutions,” explains Anna Klaft, </w:t>
            </w:r>
            <w:r w:rsidRPr="00C6209C">
              <w:rPr>
                <w:color w:val="auto"/>
                <w:lang w:val="en-US"/>
              </w:rPr>
              <w:t>Vice President IT Business Unit</w:t>
            </w:r>
            <w:r w:rsidRPr="00C6209C">
              <w:rPr>
                <w:lang w:val="en-US"/>
              </w:rPr>
              <w:t xml:space="preserve"> at Rittal. </w:t>
            </w:r>
          </w:p>
        </w:tc>
      </w:tr>
    </w:tbl>
    <w:p w14:paraId="0C70AA0C" w14:textId="77777777" w:rsidR="00D80B69" w:rsidRPr="00C6209C" w:rsidRDefault="00D80B69" w:rsidP="00D80B69">
      <w:pPr>
        <w:pStyle w:val="BU"/>
        <w:rPr>
          <w:lang w:val="en-US"/>
        </w:rPr>
      </w:pPr>
    </w:p>
    <w:p w14:paraId="77887025" w14:textId="3BEF0F0F" w:rsidR="00D2409E" w:rsidRPr="00770261" w:rsidRDefault="004839D0" w:rsidP="00D80B69">
      <w:pPr>
        <w:pStyle w:val="BU"/>
        <w:rPr>
          <w:lang w:val="en-GB"/>
        </w:rPr>
      </w:pPr>
      <w:r w:rsidRPr="004839D0">
        <w:rPr>
          <w:lang w:val="en-GB"/>
        </w:rPr>
        <w:t xml:space="preserve">May be reproduced free of charge. Please name Rittal GmbH &amp; Co. </w:t>
      </w:r>
      <w:r w:rsidRPr="00770261">
        <w:rPr>
          <w:lang w:val="en-GB"/>
        </w:rPr>
        <w:t xml:space="preserve">KG </w:t>
      </w:r>
      <w:r w:rsidRPr="004839D0">
        <w:rPr>
          <w:lang w:val="en-GB"/>
        </w:rPr>
        <w:t>as source.</w:t>
      </w:r>
    </w:p>
    <w:p w14:paraId="48433341" w14:textId="77777777" w:rsidR="00C40907" w:rsidRPr="00770261" w:rsidRDefault="00C40907" w:rsidP="00D80B69">
      <w:pPr>
        <w:pStyle w:val="Unternehmensportrait-H2"/>
        <w:rPr>
          <w:sz w:val="20"/>
          <w:lang w:val="en-GB"/>
        </w:rPr>
      </w:pPr>
      <w:r w:rsidRPr="00770261">
        <w:rPr>
          <w:lang w:val="en-GB"/>
        </w:rPr>
        <w:br w:type="page"/>
      </w:r>
    </w:p>
    <w:p w14:paraId="5512201A" w14:textId="1FD89145" w:rsidR="0030636B" w:rsidRPr="00770261" w:rsidRDefault="00D80B69" w:rsidP="00D80B69">
      <w:pPr>
        <w:pStyle w:val="Unternehmensportrait-H1"/>
        <w:rPr>
          <w:lang w:val="en-GB"/>
        </w:rPr>
      </w:pPr>
      <w:r w:rsidRPr="00770261">
        <w:rPr>
          <w:lang w:val="en-GB"/>
        </w:rPr>
        <w:lastRenderedPageBreak/>
        <w:t>Rittal</w:t>
      </w:r>
    </w:p>
    <w:p w14:paraId="336656F8" w14:textId="77777777" w:rsidR="00C707D4" w:rsidRPr="00770261" w:rsidRDefault="00C707D4" w:rsidP="00D80B69">
      <w:pPr>
        <w:pStyle w:val="Unternehmensportrait-Linie"/>
        <w:rPr>
          <w:lang w:val="en-GB"/>
        </w:rPr>
      </w:pPr>
    </w:p>
    <w:p w14:paraId="2351F908"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1ACB5BAF"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approach and methodology: Rittal, Rittal Software Systems (Eplan, Cideon and German Edge Cloud) and Rittal Automation Systems (RAS, Ehrt, Alfra)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06890FC3"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delivery promise: Rittal standard products are delivered in Germany within 24 hours, and within 48 hours throughout Europe.</w:t>
      </w:r>
    </w:p>
    <w:p w14:paraId="532E4E62"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Customer focus</w:t>
      </w:r>
    </w:p>
    <w:p w14:paraId="3281D554"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39E1B52F"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 German Edge Cloud’s ONCITE Digital Production System (DPS) makes production process data transparent, enabling it to be optimised – right through to energy management using digital production twins.</w:t>
      </w:r>
    </w:p>
    <w:p w14:paraId="22F0925C"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Sustainability</w:t>
      </w:r>
    </w:p>
    <w:p w14:paraId="022B957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D109E23"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Family business and global player</w:t>
      </w:r>
    </w:p>
    <w:p w14:paraId="618F844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Founded in 1961, Rittal is the largest company in the owner-operated Friedhelm Loh Group. The group operates worldwide, with more than 12 production sites and over 95 international subsidiaries. It has more than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59D16C6E" w14:textId="77777777" w:rsidR="00770261" w:rsidRPr="00770261" w:rsidRDefault="00770261" w:rsidP="00770261">
      <w:pPr>
        <w:widowControl/>
        <w:kinsoku w:val="0"/>
        <w:overflowPunct w:val="0"/>
        <w:autoSpaceDE/>
        <w:autoSpaceDN/>
        <w:adjustRightInd/>
        <w:spacing w:line="200" w:lineRule="exact"/>
        <w:ind w:right="2098"/>
        <w:rPr>
          <w:bCs/>
          <w:color w:val="000000" w:themeColor="text1"/>
          <w:sz w:val="16"/>
          <w:szCs w:val="20"/>
          <w:lang w:val="en-GB"/>
        </w:rPr>
      </w:pPr>
      <w:r w:rsidRPr="00770261">
        <w:rPr>
          <w:bCs/>
          <w:color w:val="000000" w:themeColor="text1"/>
          <w:sz w:val="16"/>
          <w:szCs w:val="20"/>
          <w:lang w:val="en-GB"/>
        </w:rPr>
        <w:t xml:space="preserve">For more information, visit </w:t>
      </w:r>
      <w:hyperlink r:id="rId12" w:history="1">
        <w:r w:rsidRPr="00770261">
          <w:rPr>
            <w:bCs/>
            <w:color w:val="000000" w:themeColor="text1"/>
            <w:sz w:val="16"/>
            <w:szCs w:val="20"/>
            <w:lang w:val="en-GB"/>
          </w:rPr>
          <w:t>www.rittal.com</w:t>
        </w:r>
      </w:hyperlink>
      <w:r w:rsidRPr="00770261">
        <w:rPr>
          <w:bCs/>
          <w:color w:val="000000" w:themeColor="text1"/>
          <w:sz w:val="16"/>
          <w:szCs w:val="20"/>
          <w:lang w:val="en-GB"/>
        </w:rPr>
        <w:t xml:space="preserve"> and </w:t>
      </w:r>
      <w:hyperlink r:id="rId13" w:history="1">
        <w:r w:rsidRPr="00770261">
          <w:rPr>
            <w:bCs/>
            <w:color w:val="000000" w:themeColor="text1"/>
            <w:sz w:val="16"/>
            <w:szCs w:val="20"/>
            <w:lang w:val="en-GB"/>
          </w:rPr>
          <w:t>www.friedhelm-loh-group.com</w:t>
        </w:r>
      </w:hyperlink>
      <w:r w:rsidRPr="00770261">
        <w:rPr>
          <w:bCs/>
          <w:color w:val="000000" w:themeColor="text1"/>
          <w:sz w:val="16"/>
          <w:szCs w:val="20"/>
          <w:lang w:val="en-GB"/>
        </w:rPr>
        <w:t>.</w:t>
      </w:r>
    </w:p>
    <w:p w14:paraId="5239A85A" w14:textId="77777777" w:rsidR="00770261" w:rsidRPr="00770261" w:rsidRDefault="00770261" w:rsidP="00770261">
      <w:pPr>
        <w:widowControl/>
        <w:pBdr>
          <w:bottom w:val="single" w:sz="4" w:space="0" w:color="auto"/>
        </w:pBdr>
        <w:kinsoku w:val="0"/>
        <w:overflowPunct w:val="0"/>
        <w:autoSpaceDE/>
        <w:autoSpaceDN/>
        <w:adjustRightInd/>
        <w:spacing w:after="120" w:line="160" w:lineRule="exact"/>
        <w:ind w:left="28" w:right="2098"/>
        <w:rPr>
          <w:bCs/>
          <w:noProof/>
          <w:color w:val="000000" w:themeColor="text1"/>
          <w:sz w:val="16"/>
          <w:szCs w:val="16"/>
          <w:lang w:val="en-GB"/>
        </w:rPr>
      </w:pPr>
    </w:p>
    <w:p w14:paraId="50DFA63C" w14:textId="77777777" w:rsidR="0030636B" w:rsidRPr="00770261" w:rsidRDefault="0030636B" w:rsidP="00D80B69">
      <w:pPr>
        <w:pStyle w:val="Unternehmensportrait"/>
        <w:jc w:val="left"/>
        <w:rPr>
          <w:lang w:val="en-GB"/>
        </w:rPr>
      </w:pPr>
    </w:p>
    <w:p w14:paraId="2EF92E8E" w14:textId="0702EC2B" w:rsidR="009E3CD4" w:rsidRPr="00770261" w:rsidRDefault="0033402A" w:rsidP="00D80B69">
      <w:pPr>
        <w:pStyle w:val="Unternehmenkommunikation"/>
        <w:jc w:val="left"/>
        <w:rPr>
          <w:lang w:val="en-GB"/>
        </w:rPr>
      </w:pPr>
      <w:r w:rsidRPr="00770261">
        <w:rPr>
          <w:lang w:val="en-GB"/>
        </w:rPr>
        <w:t>Corporate Communications</w:t>
      </w:r>
    </w:p>
    <w:p w14:paraId="287BC080" w14:textId="77777777" w:rsidR="009E3CD4" w:rsidRPr="008E3C61" w:rsidRDefault="009E3CD4" w:rsidP="00D80B69">
      <w:pPr>
        <w:pStyle w:val="Unternehmenkommunikation"/>
        <w:jc w:val="left"/>
      </w:pPr>
      <w:r w:rsidRPr="00770261">
        <w:rPr>
          <w:lang w:val="en-GB"/>
        </w:rPr>
        <w:t>Dr. Carola Hilbrand</w:t>
      </w:r>
      <w:r w:rsidRPr="00770261">
        <w:rPr>
          <w:lang w:val="en-GB"/>
        </w:rPr>
        <w:tab/>
        <w:t xml:space="preserve">Rittal GmbH &amp; Co. </w:t>
      </w:r>
      <w:r w:rsidRPr="008E3C61">
        <w:t>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239C6796" w:rsidR="009E3CD4" w:rsidRPr="00770261" w:rsidRDefault="009E3CD4" w:rsidP="00D80B69">
      <w:pPr>
        <w:pStyle w:val="Unternehmenkommunikation"/>
        <w:jc w:val="left"/>
        <w:rPr>
          <w:color w:val="auto"/>
        </w:rPr>
      </w:pPr>
      <w:r>
        <w:t>hilbrand</w:t>
      </w:r>
      <w:r w:rsidRPr="00681C6A">
        <w:t>.</w:t>
      </w:r>
      <w:r>
        <w:t>c</w:t>
      </w:r>
      <w:r w:rsidRPr="00681C6A">
        <w:t>@rittal.de</w:t>
      </w:r>
      <w:r w:rsidRPr="00681C6A">
        <w:tab/>
      </w:r>
      <w:hyperlink r:id="rId14" w:history="1">
        <w:r w:rsidR="00F94098" w:rsidRPr="00770261">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53E24E0D" w:rsidR="00A73C13" w:rsidRPr="00770261" w:rsidRDefault="001E046B" w:rsidP="00770261">
      <w:pPr>
        <w:pStyle w:val="Unternehmensportrait"/>
        <w:jc w:val="left"/>
        <w:rPr>
          <w:noProof/>
          <w:spacing w:val="-4"/>
        </w:rPr>
      </w:pPr>
      <w:r>
        <w:rPr>
          <w:noProof/>
        </w:rPr>
        <w:drawing>
          <wp:anchor distT="0" distB="0" distL="114300" distR="114300" simplePos="0" relativeHeight="251716608"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5"/>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r>
      <w:r w:rsidR="0067568A">
        <w:rPr>
          <w:noProof/>
          <w:spacing w:val="-4"/>
        </w:rPr>
        <w:t>Follow us</w:t>
      </w:r>
      <w:r>
        <w:rPr>
          <w:noProof/>
          <w:spacing w:val="-4"/>
        </w:rPr>
        <w:t xml:space="preserve">: </w:t>
      </w:r>
    </w:p>
    <w:sectPr w:rsidR="00A73C13" w:rsidRPr="00770261" w:rsidSect="00F11D1D">
      <w:headerReference w:type="default" r:id="rId16"/>
      <w:footerReference w:type="default" r:id="rId17"/>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307C0" w14:textId="77777777" w:rsidR="00DA5E68" w:rsidRDefault="00DA5E68" w:rsidP="00C437B6">
      <w:r>
        <w:separator/>
      </w:r>
    </w:p>
  </w:endnote>
  <w:endnote w:type="continuationSeparator" w:id="0">
    <w:p w14:paraId="7CC9B257" w14:textId="77777777" w:rsidR="00DA5E68" w:rsidRDefault="00DA5E68"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T St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6C5208F2" w:rsidR="00202595" w:rsidRDefault="00B53034">
    <w:pPr>
      <w:pStyle w:val="Fuzeile"/>
    </w:pPr>
    <w:r w:rsidRPr="006270D1">
      <w:rPr>
        <w:noProof/>
      </w:rPr>
      <w:drawing>
        <wp:anchor distT="0" distB="0" distL="0" distR="0" simplePos="0" relativeHeight="251657216" behindDoc="0" locked="0" layoutInCell="1" allowOverlap="0" wp14:anchorId="370ED1DB" wp14:editId="5CD92332">
          <wp:simplePos x="0" y="0"/>
          <wp:positionH relativeFrom="margin">
            <wp:posOffset>-967740</wp:posOffset>
          </wp:positionH>
          <wp:positionV relativeFrom="topMargin">
            <wp:posOffset>9783584</wp:posOffset>
          </wp:positionV>
          <wp:extent cx="7773670" cy="182880"/>
          <wp:effectExtent l="0" t="0" r="0" b="0"/>
          <wp:wrapThrough wrapText="bothSides">
            <wp:wrapPolygon edited="0">
              <wp:start x="0" y="0"/>
              <wp:lineTo x="0" y="19500"/>
              <wp:lineTo x="21561" y="19500"/>
              <wp:lineTo x="21561"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3670" cy="182880"/>
                  </a:xfrm>
                  <a:prstGeom prst="rect">
                    <a:avLst/>
                  </a:prstGeom>
                </pic:spPr>
              </pic:pic>
            </a:graphicData>
          </a:graphic>
          <wp14:sizeRelV relativeFrom="margin">
            <wp14:pctHeight>0</wp14:pctHeight>
          </wp14:sizeRelV>
        </wp:anchor>
      </w:drawing>
    </w:r>
    <w:r>
      <w:rPr>
        <w:noProof/>
        <w:szCs w:val="20"/>
      </w:rPr>
      <w:drawing>
        <wp:anchor distT="0" distB="0" distL="114300" distR="114300" simplePos="0" relativeHeight="251658240" behindDoc="1" locked="0" layoutInCell="1" allowOverlap="1" wp14:anchorId="6347FF42" wp14:editId="222E1FC1">
          <wp:simplePos x="0" y="0"/>
          <wp:positionH relativeFrom="page">
            <wp:posOffset>866140</wp:posOffset>
          </wp:positionH>
          <wp:positionV relativeFrom="page">
            <wp:posOffset>10275431</wp:posOffset>
          </wp:positionV>
          <wp:extent cx="1767840" cy="93345"/>
          <wp:effectExtent l="0" t="0" r="0" b="0"/>
          <wp:wrapNone/>
          <wp:docPr id="18" name="Bild 1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5C216" w14:textId="77777777" w:rsidR="00DA5E68" w:rsidRDefault="00DA5E68" w:rsidP="00C437B6">
      <w:r>
        <w:separator/>
      </w:r>
    </w:p>
  </w:footnote>
  <w:footnote w:type="continuationSeparator" w:id="0">
    <w:p w14:paraId="4AD7291B" w14:textId="77777777" w:rsidR="00DA5E68" w:rsidRDefault="00DA5E68"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527C9FC4" w:rsidR="00202595" w:rsidRDefault="00BA0953">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B0CC23E" wp14:editId="4E450718">
              <wp:simplePos x="0" y="0"/>
              <wp:positionH relativeFrom="margin">
                <wp:posOffset>0</wp:posOffset>
              </wp:positionH>
              <wp:positionV relativeFrom="paragraph">
                <wp:posOffset>452908</wp:posOffset>
              </wp:positionV>
              <wp:extent cx="3689350" cy="508635"/>
              <wp:effectExtent l="0" t="0" r="25400" b="24765"/>
              <wp:wrapNone/>
              <wp:docPr id="4" name="Textfeld 4"/>
              <wp:cNvGraphicFramePr/>
              <a:graphic xmlns:a="http://schemas.openxmlformats.org/drawingml/2006/main">
                <a:graphicData uri="http://schemas.microsoft.com/office/word/2010/wordprocessingShape">
                  <wps:wsp>
                    <wps:cNvSpPr txBox="1"/>
                    <wps:spPr>
                      <a:xfrm>
                        <a:off x="0" y="0"/>
                        <a:ext cx="3689350" cy="508635"/>
                      </a:xfrm>
                      <a:prstGeom prst="rect">
                        <a:avLst/>
                      </a:prstGeom>
                      <a:solidFill>
                        <a:schemeClr val="lt1"/>
                      </a:solidFill>
                      <a:ln w="6350">
                        <a:solidFill>
                          <a:prstClr val="black"/>
                        </a:solidFill>
                      </a:ln>
                    </wps:spPr>
                    <wps:txbx>
                      <w:txbxContent>
                        <w:p w14:paraId="6384C1F4" w14:textId="77777777" w:rsidR="00BA0953" w:rsidRPr="00BA0953" w:rsidRDefault="00BA0953" w:rsidP="00BA0953">
                          <w:pPr>
                            <w:rPr>
                              <w:lang w:val="en-US"/>
                            </w:rPr>
                          </w:pPr>
                          <w:r w:rsidRPr="00BA0953">
                            <w:rPr>
                              <w:lang w:val="en-US"/>
                            </w:rPr>
                            <w:t>Rittal, Eplan, Cideon und German Edge Cloud at</w:t>
                          </w:r>
                        </w:p>
                        <w:p w14:paraId="77118A2D" w14:textId="77777777" w:rsidR="00BA0953" w:rsidRDefault="00BA0953" w:rsidP="00BA0953">
                          <w:r>
                            <w:t xml:space="preserve">Hannover Messe 2024, Hall 11, Booth E6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B0CC23E" id="_x0000_t202" coordsize="21600,21600" o:spt="202" path="m,l,21600r21600,l21600,xe">
              <v:stroke joinstyle="miter"/>
              <v:path gradientshapeok="t" o:connecttype="rect"/>
            </v:shapetype>
            <v:shape id="Textfeld 4" o:spid="_x0000_s1026" type="#_x0000_t202" style="position:absolute;margin-left:0;margin-top:35.65pt;width:290.5pt;height:40.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" fillcolor="white [3201]" strokeweight=".5pt">
              <v:textbox>
                <w:txbxContent>
                  <w:p w14:paraId="6384C1F4" w14:textId="77777777" w:rsidR="00BA0953" w:rsidRPr="00BA0953" w:rsidRDefault="00BA0953" w:rsidP="00BA0953">
                    <w:pPr>
                      <w:rPr>
                        <w:lang w:val="en-US"/>
                      </w:rPr>
                    </w:pPr>
                    <w:r w:rsidRPr="00BA0953">
                      <w:rPr>
                        <w:lang w:val="en-US"/>
                      </w:rPr>
                      <w:t>Rittal, Eplan, Cideon und German Edge Cloud at</w:t>
                    </w:r>
                  </w:p>
                  <w:p w14:paraId="77118A2D" w14:textId="77777777" w:rsidR="00BA0953" w:rsidRDefault="00BA0953" w:rsidP="00BA0953">
                    <w:r>
                      <w:t xml:space="preserve">Hannover Messe 2024, Hall 11, Booth E6 </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6192"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216F4F">
      <w:rPr>
        <w:noProof/>
        <w:sz w:val="16"/>
        <w:szCs w:val="16"/>
      </w:rPr>
      <mc:AlternateContent>
        <mc:Choice Requires="wps">
          <w:drawing>
            <wp:anchor distT="0" distB="0" distL="114300" distR="114300" simplePos="0" relativeHeight="251659264" behindDoc="1" locked="0" layoutInCell="0" allowOverlap="1" wp14:anchorId="00F58628" wp14:editId="4EB6A61A">
              <wp:simplePos x="0" y="0"/>
              <wp:positionH relativeFrom="page">
                <wp:posOffset>864235</wp:posOffset>
              </wp:positionH>
              <wp:positionV relativeFrom="page">
                <wp:posOffset>449580</wp:posOffset>
              </wp:positionV>
              <wp:extent cx="1485900" cy="351790"/>
              <wp:effectExtent l="0" t="190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58628" id="Text Box 1" o:spid="_x0000_s1027" type="#_x0000_t202" style="position:absolute;margin-left:68.05pt;margin-top:35.4pt;width:117pt;height:2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" o:allowincell="f" filled="f" stroked="f">
              <v:textbox inset="0,0,0,0">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024483445">
    <w:abstractNumId w:val="10"/>
  </w:num>
  <w:num w:numId="2" w16cid:durableId="995962825">
    <w:abstractNumId w:val="9"/>
  </w:num>
  <w:num w:numId="3" w16cid:durableId="804004533">
    <w:abstractNumId w:val="7"/>
  </w:num>
  <w:num w:numId="4" w16cid:durableId="1360548316">
    <w:abstractNumId w:val="6"/>
  </w:num>
  <w:num w:numId="5" w16cid:durableId="997078229">
    <w:abstractNumId w:val="5"/>
  </w:num>
  <w:num w:numId="6" w16cid:durableId="1468743736">
    <w:abstractNumId w:val="4"/>
  </w:num>
  <w:num w:numId="7" w16cid:durableId="948198376">
    <w:abstractNumId w:val="8"/>
  </w:num>
  <w:num w:numId="8" w16cid:durableId="865603404">
    <w:abstractNumId w:val="3"/>
  </w:num>
  <w:num w:numId="9" w16cid:durableId="685907516">
    <w:abstractNumId w:val="2"/>
  </w:num>
  <w:num w:numId="10" w16cid:durableId="1874267438">
    <w:abstractNumId w:val="1"/>
  </w:num>
  <w:num w:numId="11" w16cid:durableId="1059520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hideGrammaticalError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E6B"/>
    <w:rsid w:val="00022489"/>
    <w:rsid w:val="00027B50"/>
    <w:rsid w:val="00034685"/>
    <w:rsid w:val="00037FD6"/>
    <w:rsid w:val="00047B15"/>
    <w:rsid w:val="00052DD2"/>
    <w:rsid w:val="00080930"/>
    <w:rsid w:val="000902CE"/>
    <w:rsid w:val="000E7A2C"/>
    <w:rsid w:val="0011102D"/>
    <w:rsid w:val="00114302"/>
    <w:rsid w:val="00145F70"/>
    <w:rsid w:val="001519D2"/>
    <w:rsid w:val="001926CE"/>
    <w:rsid w:val="001B189F"/>
    <w:rsid w:val="001B7268"/>
    <w:rsid w:val="001D555B"/>
    <w:rsid w:val="001D6722"/>
    <w:rsid w:val="001E046B"/>
    <w:rsid w:val="001E78D8"/>
    <w:rsid w:val="002016FD"/>
    <w:rsid w:val="00202595"/>
    <w:rsid w:val="00216F4F"/>
    <w:rsid w:val="0023718F"/>
    <w:rsid w:val="00274BBB"/>
    <w:rsid w:val="002C00E6"/>
    <w:rsid w:val="002C6615"/>
    <w:rsid w:val="002D2830"/>
    <w:rsid w:val="002E1F7F"/>
    <w:rsid w:val="0030636B"/>
    <w:rsid w:val="0031514E"/>
    <w:rsid w:val="0033402A"/>
    <w:rsid w:val="003452A9"/>
    <w:rsid w:val="00367B14"/>
    <w:rsid w:val="00397E80"/>
    <w:rsid w:val="003A7EAF"/>
    <w:rsid w:val="003B12EF"/>
    <w:rsid w:val="003B413C"/>
    <w:rsid w:val="003C464D"/>
    <w:rsid w:val="00424077"/>
    <w:rsid w:val="0042557E"/>
    <w:rsid w:val="004305EE"/>
    <w:rsid w:val="00445DA2"/>
    <w:rsid w:val="00454741"/>
    <w:rsid w:val="00455B4F"/>
    <w:rsid w:val="00456F1A"/>
    <w:rsid w:val="004643E3"/>
    <w:rsid w:val="004839D0"/>
    <w:rsid w:val="004845A9"/>
    <w:rsid w:val="004860F9"/>
    <w:rsid w:val="00486A98"/>
    <w:rsid w:val="004D56BD"/>
    <w:rsid w:val="004F229F"/>
    <w:rsid w:val="00512F78"/>
    <w:rsid w:val="00513BB5"/>
    <w:rsid w:val="00542350"/>
    <w:rsid w:val="005467FA"/>
    <w:rsid w:val="0055018D"/>
    <w:rsid w:val="00556081"/>
    <w:rsid w:val="0057573C"/>
    <w:rsid w:val="00584C14"/>
    <w:rsid w:val="005D33D3"/>
    <w:rsid w:val="005D7486"/>
    <w:rsid w:val="005F47D3"/>
    <w:rsid w:val="00613397"/>
    <w:rsid w:val="006270D1"/>
    <w:rsid w:val="006467B0"/>
    <w:rsid w:val="00650E38"/>
    <w:rsid w:val="00654F16"/>
    <w:rsid w:val="0067568A"/>
    <w:rsid w:val="00681C6A"/>
    <w:rsid w:val="006A2213"/>
    <w:rsid w:val="006B6583"/>
    <w:rsid w:val="006C0224"/>
    <w:rsid w:val="006C2B8D"/>
    <w:rsid w:val="006C6990"/>
    <w:rsid w:val="006C7EF7"/>
    <w:rsid w:val="006D5EAA"/>
    <w:rsid w:val="006E6B91"/>
    <w:rsid w:val="00701182"/>
    <w:rsid w:val="007315EA"/>
    <w:rsid w:val="007379AB"/>
    <w:rsid w:val="00746B4A"/>
    <w:rsid w:val="007568B6"/>
    <w:rsid w:val="00760BC1"/>
    <w:rsid w:val="00770261"/>
    <w:rsid w:val="007A4C38"/>
    <w:rsid w:val="007C2C27"/>
    <w:rsid w:val="007D60A7"/>
    <w:rsid w:val="007D7AE2"/>
    <w:rsid w:val="00801528"/>
    <w:rsid w:val="00805E8F"/>
    <w:rsid w:val="00886E96"/>
    <w:rsid w:val="00895E52"/>
    <w:rsid w:val="008D4B31"/>
    <w:rsid w:val="009021C0"/>
    <w:rsid w:val="009058E3"/>
    <w:rsid w:val="00947C4F"/>
    <w:rsid w:val="00996B25"/>
    <w:rsid w:val="009A0F9D"/>
    <w:rsid w:val="009D411D"/>
    <w:rsid w:val="009D709C"/>
    <w:rsid w:val="009E0DC3"/>
    <w:rsid w:val="009E3CD4"/>
    <w:rsid w:val="009E4D10"/>
    <w:rsid w:val="009F3123"/>
    <w:rsid w:val="00A0608C"/>
    <w:rsid w:val="00A0697D"/>
    <w:rsid w:val="00A23870"/>
    <w:rsid w:val="00A37B28"/>
    <w:rsid w:val="00A51035"/>
    <w:rsid w:val="00A51E5F"/>
    <w:rsid w:val="00A66242"/>
    <w:rsid w:val="00A71BED"/>
    <w:rsid w:val="00A73C13"/>
    <w:rsid w:val="00A90FC3"/>
    <w:rsid w:val="00AA6300"/>
    <w:rsid w:val="00AA6A2B"/>
    <w:rsid w:val="00AC391D"/>
    <w:rsid w:val="00AD5C77"/>
    <w:rsid w:val="00B317B0"/>
    <w:rsid w:val="00B42CC3"/>
    <w:rsid w:val="00B5087C"/>
    <w:rsid w:val="00B53034"/>
    <w:rsid w:val="00B70890"/>
    <w:rsid w:val="00B75E7A"/>
    <w:rsid w:val="00B8089B"/>
    <w:rsid w:val="00B921A4"/>
    <w:rsid w:val="00B9325B"/>
    <w:rsid w:val="00BA0953"/>
    <w:rsid w:val="00BD1E6B"/>
    <w:rsid w:val="00C0410E"/>
    <w:rsid w:val="00C40907"/>
    <w:rsid w:val="00C437B6"/>
    <w:rsid w:val="00C6209C"/>
    <w:rsid w:val="00C707D4"/>
    <w:rsid w:val="00C7714F"/>
    <w:rsid w:val="00C81C3C"/>
    <w:rsid w:val="00C85246"/>
    <w:rsid w:val="00C933FC"/>
    <w:rsid w:val="00C9738B"/>
    <w:rsid w:val="00CA28D3"/>
    <w:rsid w:val="00CB1B61"/>
    <w:rsid w:val="00CC229D"/>
    <w:rsid w:val="00CC3274"/>
    <w:rsid w:val="00CC57AA"/>
    <w:rsid w:val="00CD7C6C"/>
    <w:rsid w:val="00CF7702"/>
    <w:rsid w:val="00D02577"/>
    <w:rsid w:val="00D02D5B"/>
    <w:rsid w:val="00D0666B"/>
    <w:rsid w:val="00D109A1"/>
    <w:rsid w:val="00D205F9"/>
    <w:rsid w:val="00D2409E"/>
    <w:rsid w:val="00D80B69"/>
    <w:rsid w:val="00D90C06"/>
    <w:rsid w:val="00D92FEF"/>
    <w:rsid w:val="00DA0AC1"/>
    <w:rsid w:val="00DA5E68"/>
    <w:rsid w:val="00DA78A6"/>
    <w:rsid w:val="00DB19B6"/>
    <w:rsid w:val="00DC7953"/>
    <w:rsid w:val="00DC7BEC"/>
    <w:rsid w:val="00DD48DF"/>
    <w:rsid w:val="00DF3CF6"/>
    <w:rsid w:val="00E02D8D"/>
    <w:rsid w:val="00E4364C"/>
    <w:rsid w:val="00E43B92"/>
    <w:rsid w:val="00E46942"/>
    <w:rsid w:val="00EB1ED8"/>
    <w:rsid w:val="00ED3D20"/>
    <w:rsid w:val="00EE2E8D"/>
    <w:rsid w:val="00EE437A"/>
    <w:rsid w:val="00F11D1D"/>
    <w:rsid w:val="00F34793"/>
    <w:rsid w:val="00F46C85"/>
    <w:rsid w:val="00F53B77"/>
    <w:rsid w:val="00F56180"/>
    <w:rsid w:val="00F61379"/>
    <w:rsid w:val="00F90E37"/>
    <w:rsid w:val="00F94098"/>
    <w:rsid w:val="00FB1403"/>
    <w:rsid w:val="00FC3A8C"/>
    <w:rsid w:val="00FD4CFC"/>
    <w:rsid w:val="00FE5478"/>
    <w:rsid w:val="00FF5CE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A35DFF6D-235C-4D31-B6C7-15B47680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Default">
    <w:name w:val="Default"/>
    <w:rsid w:val="00542350"/>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542350"/>
    <w:rPr>
      <w:color w:val="605E5C"/>
      <w:shd w:val="clear" w:color="auto" w:fill="E1DFDD"/>
    </w:rPr>
  </w:style>
  <w:style w:type="character" w:styleId="BesuchterLink">
    <w:name w:val="FollowedHyperlink"/>
    <w:basedOn w:val="Absatz-Standardschriftart"/>
    <w:uiPriority w:val="99"/>
    <w:semiHidden/>
    <w:unhideWhenUsed/>
    <w:rsid w:val="00A37B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riedhelm-loh-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ittal.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tta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6531CB-3606-4726-94A2-1B4B8A100F96}">
  <ds:schemaRefs>
    <ds:schemaRef ds:uri="http://schemas.microsoft.com/sharepoint/v3/contenttype/forms"/>
  </ds:schemaRefs>
</ds:datastoreItem>
</file>

<file path=customXml/itemProps2.xml><?xml version="1.0" encoding="utf-8"?>
<ds:datastoreItem xmlns:ds="http://schemas.openxmlformats.org/officeDocument/2006/customXml" ds:itemID="{A42F7B24-E2A5-4DEC-AAEB-E3059C428299}">
  <ds:schemaRefs>
    <ds:schemaRef ds:uri="http://schemas.openxmlformats.org/officeDocument/2006/bibliography"/>
  </ds:schemaRefs>
</ds:datastoreItem>
</file>

<file path=customXml/itemProps3.xml><?xml version="1.0" encoding="utf-8"?>
<ds:datastoreItem xmlns:ds="http://schemas.openxmlformats.org/officeDocument/2006/customXml" ds:itemID="{DE03FECE-A881-4089-A7D1-A61549443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6617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Steffen Maltzan</cp:lastModifiedBy>
  <cp:revision>12</cp:revision>
  <cp:lastPrinted>2024-01-28T14:20:00Z</cp:lastPrinted>
  <dcterms:created xsi:type="dcterms:W3CDTF">2024-04-18T06:50:00Z</dcterms:created>
  <dcterms:modified xsi:type="dcterms:W3CDTF">2024-04-20T20:20:00Z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ies>
</file>